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市总会激励资金使用范围及标准</w:t>
      </w:r>
    </w:p>
    <w:p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893"/>
        <w:gridCol w:w="3385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使用方向</w:t>
            </w: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困难救助</w:t>
            </w: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助医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因患重病导致经济困难的，资助2000元-20000元/人/年</w:t>
            </w:r>
          </w:p>
        </w:tc>
        <w:tc>
          <w:tcPr>
            <w:tcW w:w="3178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具体资助金额参照“一起捐”激励支持计划，由受助对象所在社区在项目标准范围内据实制订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助学</w:t>
            </w:r>
            <w:bookmarkStart w:id="0" w:name="_GoBack"/>
            <w:bookmarkEnd w:id="0"/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幼儿园至大学（不含研究生）的在读困难学生，资助2000元-10000元/人/年</w:t>
            </w:r>
          </w:p>
        </w:tc>
        <w:tc>
          <w:tcPr>
            <w:tcW w:w="3178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济困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因自然灾害、突发意外事件等特殊原因导致基本生活出现暂时严重困难的，资助2000元-10000元/人/年</w:t>
            </w:r>
          </w:p>
        </w:tc>
        <w:tc>
          <w:tcPr>
            <w:tcW w:w="3178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困难群众服务</w:t>
            </w: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为一老一小、残疾人等特殊群体开展公益慈善服务项目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根据项目策划书及预算，资助不超过2万元的项目资金。</w:t>
            </w: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具体资助金额参照“一起捐”激励支持计划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社区发展</w:t>
            </w:r>
          </w:p>
        </w:tc>
        <w:tc>
          <w:tcPr>
            <w:tcW w:w="18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开展社区发展治理、志愿者团队支持等社区公益项目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根据项目策划书及预算，资助不超过2万元的项目资金。</w:t>
            </w: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具体资助金额参照“一起捐”激励支持计划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GU0YTAxN2JlMGI2OWJmZTE3YWQ2Zjc5ZWYwZGEifQ=="/>
  </w:docVars>
  <w:rsids>
    <w:rsidRoot w:val="494A6BDC"/>
    <w:rsid w:val="01161E27"/>
    <w:rsid w:val="494A6BDC"/>
    <w:rsid w:val="538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343</Characters>
  <Lines>0</Lines>
  <Paragraphs>0</Paragraphs>
  <TotalTime>0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2024-07-18T01:17:00Z</dcterms:created>
  <dc:creator>言宁</dc:creator>
  <cp:lastModifiedBy>言宁</cp:lastModifiedBy>
  <dcterms:modified xsi:type="dcterms:W3CDTF">2024-07-18T07:21:23Z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EADFD70049034D73A92DDE470C7F8599_11</vt:lpwstr>
  </property>
</Properties>
</file>